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A3" w:rsidRDefault="00755265" w:rsidP="00755265">
      <w:pPr>
        <w:jc w:val="center"/>
        <w:rPr>
          <w:b/>
          <w:sz w:val="28"/>
        </w:rPr>
      </w:pPr>
      <w:r w:rsidRPr="00755265">
        <w:rPr>
          <w:b/>
          <w:sz w:val="28"/>
        </w:rPr>
        <w:t>Multiple Course</w:t>
      </w:r>
      <w:r>
        <w:rPr>
          <w:b/>
          <w:sz w:val="28"/>
        </w:rPr>
        <w:t>s</w:t>
      </w:r>
      <w:r w:rsidRPr="00755265">
        <w:rPr>
          <w:b/>
          <w:sz w:val="28"/>
        </w:rPr>
        <w:t xml:space="preserve"> with Overlapping Dates</w:t>
      </w:r>
    </w:p>
    <w:p w:rsidR="00577348" w:rsidRDefault="00577348" w:rsidP="00755265">
      <w:pPr>
        <w:jc w:val="center"/>
        <w:rPr>
          <w:b/>
          <w:sz w:val="28"/>
        </w:rPr>
      </w:pPr>
    </w:p>
    <w:tbl>
      <w:tblPr>
        <w:tblpPr w:leftFromText="180" w:rightFromText="180" w:vertAnchor="page" w:horzAnchor="margin" w:tblpY="2281"/>
        <w:tblW w:w="59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3912"/>
      </w:tblGrid>
      <w:tr w:rsidR="00577348" w:rsidRPr="002D0C73" w:rsidTr="00577348">
        <w:trPr>
          <w:trHeight w:val="199"/>
          <w:tblCellSpacing w:w="15" w:type="dxa"/>
        </w:trPr>
        <w:tc>
          <w:tcPr>
            <w:tcW w:w="0" w:type="auto"/>
            <w:shd w:val="clear" w:color="auto" w:fill="DCCCAE"/>
            <w:hideMark/>
          </w:tcPr>
          <w:p w:rsidR="00577348" w:rsidRPr="002D0C73" w:rsidRDefault="00577348" w:rsidP="005773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0C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ID: </w:t>
            </w:r>
          </w:p>
        </w:tc>
        <w:tc>
          <w:tcPr>
            <w:tcW w:w="0" w:type="auto"/>
            <w:hideMark/>
          </w:tcPr>
          <w:p w:rsidR="00577348" w:rsidRPr="002D0C73" w:rsidRDefault="00577348" w:rsidP="005773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Elvis Presley</w:t>
            </w:r>
            <w:r w:rsidRPr="002D0C73">
              <w:rPr>
                <w:rFonts w:eastAsia="Times New Roman" w:cs="Times New Roman"/>
                <w:color w:val="000000"/>
                <w:sz w:val="20"/>
                <w:szCs w:val="20"/>
              </w:rPr>
              <w:t>, 10001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1111</w:t>
            </w:r>
          </w:p>
        </w:tc>
      </w:tr>
      <w:tr w:rsidR="00577348" w:rsidRPr="002D0C73" w:rsidTr="00577348">
        <w:trPr>
          <w:trHeight w:val="211"/>
          <w:tblCellSpacing w:w="15" w:type="dxa"/>
        </w:trPr>
        <w:tc>
          <w:tcPr>
            <w:tcW w:w="0" w:type="auto"/>
            <w:shd w:val="clear" w:color="auto" w:fill="DCCCAE"/>
            <w:hideMark/>
          </w:tcPr>
          <w:p w:rsidR="00577348" w:rsidRPr="002D0C73" w:rsidRDefault="00577348" w:rsidP="005773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0C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Query Date: </w:t>
            </w:r>
          </w:p>
        </w:tc>
        <w:tc>
          <w:tcPr>
            <w:tcW w:w="0" w:type="auto"/>
            <w:hideMark/>
          </w:tcPr>
          <w:p w:rsidR="00577348" w:rsidRPr="002D0C73" w:rsidRDefault="00577348" w:rsidP="005773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C73">
              <w:rPr>
                <w:rFonts w:eastAsia="Times New Roman" w:cs="Times New Roman"/>
                <w:color w:val="000000"/>
                <w:sz w:val="20"/>
                <w:szCs w:val="20"/>
              </w:rPr>
              <w:t>Jun 03, 2013</w:t>
            </w:r>
          </w:p>
        </w:tc>
      </w:tr>
      <w:tr w:rsidR="00577348" w:rsidRPr="002D0C73" w:rsidTr="00577348">
        <w:trPr>
          <w:trHeight w:val="223"/>
          <w:tblCellSpacing w:w="15" w:type="dxa"/>
        </w:trPr>
        <w:tc>
          <w:tcPr>
            <w:tcW w:w="0" w:type="auto"/>
            <w:shd w:val="clear" w:color="auto" w:fill="DCCCAE"/>
            <w:hideMark/>
          </w:tcPr>
          <w:p w:rsidR="00577348" w:rsidRPr="002D0C73" w:rsidRDefault="00577348" w:rsidP="005773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0C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Approval Category: </w:t>
            </w:r>
          </w:p>
        </w:tc>
        <w:tc>
          <w:tcPr>
            <w:tcW w:w="0" w:type="auto"/>
            <w:hideMark/>
          </w:tcPr>
          <w:p w:rsidR="00577348" w:rsidRPr="002D0C73" w:rsidRDefault="00577348" w:rsidP="005773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C73">
              <w:rPr>
                <w:rFonts w:eastAsia="Times New Roman" w:cs="Times New Roman"/>
                <w:color w:val="000000"/>
                <w:sz w:val="20"/>
                <w:szCs w:val="20"/>
              </w:rPr>
              <w:t>Faculty TPT Rehire 1 Semester, JF0002</w:t>
            </w:r>
          </w:p>
        </w:tc>
      </w:tr>
    </w:tbl>
    <w:p w:rsidR="00577348" w:rsidRPr="00755265" w:rsidRDefault="00577348" w:rsidP="00577348">
      <w:pPr>
        <w:rPr>
          <w:b/>
          <w:sz w:val="28"/>
        </w:rPr>
      </w:pPr>
    </w:p>
    <w:p w:rsidR="00755265" w:rsidRDefault="00755265"/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table list the jobs held by the employee."/>
      </w:tblPr>
      <w:tblGrid>
        <w:gridCol w:w="798"/>
        <w:gridCol w:w="1147"/>
        <w:gridCol w:w="1123"/>
        <w:gridCol w:w="668"/>
        <w:gridCol w:w="1620"/>
        <w:gridCol w:w="1734"/>
        <w:gridCol w:w="858"/>
        <w:gridCol w:w="823"/>
        <w:gridCol w:w="884"/>
        <w:gridCol w:w="1237"/>
        <w:gridCol w:w="718"/>
      </w:tblGrid>
      <w:tr w:rsidR="00755265" w:rsidRPr="006F50B5" w:rsidTr="00755265">
        <w:trPr>
          <w:tblCellSpacing w:w="15" w:type="dxa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265" w:rsidRPr="006F50B5" w:rsidRDefault="00755265" w:rsidP="00755265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50B5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System removal of end date, J00006</w:t>
            </w:r>
          </w:p>
        </w:tc>
      </w:tr>
      <w:tr w:rsidR="00755265" w:rsidRPr="006F50B5" w:rsidTr="007552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50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Search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50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50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50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Suffix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50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50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Time Sheet Organization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50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Start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50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End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50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Last Paid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50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Status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50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Select</w:t>
            </w:r>
          </w:p>
        </w:tc>
      </w:tr>
      <w:tr w:rsidR="00755265" w:rsidRPr="006F50B5" w:rsidTr="007552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50B5">
              <w:rPr>
                <w:rFonts w:ascii="Verdana" w:eastAsia="Times New Roman" w:hAnsi="Verdana" w:cs="Times New Roman"/>
                <w:noProof/>
                <w:color w:val="CC0000"/>
                <w:sz w:val="20"/>
                <w:szCs w:val="20"/>
              </w:rPr>
              <w:drawing>
                <wp:inline distT="0" distB="0" distL="0" distR="0" wp14:anchorId="40F85DF4" wp14:editId="13392685">
                  <wp:extent cx="152400" cy="152400"/>
                  <wp:effectExtent l="0" t="0" r="0" b="0"/>
                  <wp:docPr id="1" name="Picture 1" descr="Search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arch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50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New Job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50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51.7pt;height:18pt" o:ole="">
                  <v:imagedata r:id="rId9" o:title=""/>
                </v:shape>
                <w:control r:id="rId10" w:name="DefaultOcxName2" w:shapeid="_x0000_i104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50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object w:dxaOrig="1440" w:dyaOrig="1440">
                <v:shape id="_x0000_i1051" type="#_x0000_t75" style="width:22.6pt;height:18pt" o:ole="">
                  <v:imagedata r:id="rId11" o:title=""/>
                </v:shape>
                <w:control r:id="rId12" w:name="DefaultOcxName3" w:shapeid="_x0000_i105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50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object w:dxaOrig="1440" w:dyaOrig="1440">
                <v:shape id="_x0000_i1053" type="#_x0000_t75" style="width:18pt;height:15.7pt" o:ole="">
                  <v:imagedata r:id="rId13" o:title=""/>
                </v:shape>
                <w:control r:id="rId14" w:name="DefaultOcxName4" w:shapeid="_x0000_i1053"/>
              </w:object>
            </w:r>
          </w:p>
        </w:tc>
      </w:tr>
      <w:tr w:rsidR="00755265" w:rsidRPr="006F50B5" w:rsidTr="007552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50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Primary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50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F9G056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50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50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Professor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50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AGA, Gallup Branch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50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Jan 01, 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50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Jan 31,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50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50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object w:dxaOrig="1440" w:dyaOrig="1440">
                <v:shape id="_x0000_i1056" type="#_x0000_t75" style="width:18pt;height:15.7pt" o:ole="">
                  <v:imagedata r:id="rId13" o:title=""/>
                </v:shape>
                <w:control r:id="rId15" w:name="DefaultOcxName5" w:shapeid="_x0000_i1056"/>
              </w:object>
            </w:r>
          </w:p>
        </w:tc>
      </w:tr>
      <w:tr w:rsidR="00755265" w:rsidRPr="006F50B5" w:rsidTr="007552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50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Overload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50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F9G056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50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50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Professor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50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AGA, Gallup Branch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50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Jul 01, 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50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Jul 31, 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50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Jul 31, 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50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Terminated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50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object w:dxaOrig="1440" w:dyaOrig="1440">
                <v:shape id="_x0000_i1059" type="#_x0000_t75" style="width:18pt;height:15.7pt" o:ole="">
                  <v:imagedata r:id="rId13" o:title=""/>
                </v:shape>
                <w:control r:id="rId16" w:name="DefaultOcxName6" w:shapeid="_x0000_i1059"/>
              </w:object>
            </w:r>
          </w:p>
        </w:tc>
      </w:tr>
      <w:tr w:rsidR="00755265" w:rsidRPr="006F50B5" w:rsidTr="007552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50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Secondary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50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F9G056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50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50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Chair of 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50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AGA, Gallup Branch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50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Aug 01, 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50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Jul 31, 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50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Jul 31, 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50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Terminated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50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object w:dxaOrig="1440" w:dyaOrig="1440">
                <v:shape id="_x0000_i1062" type="#_x0000_t75" style="width:18pt;height:15.7pt" o:ole="">
                  <v:imagedata r:id="rId13" o:title=""/>
                </v:shape>
                <w:control r:id="rId17" w:name="DefaultOcxName7" w:shapeid="_x0000_i1062"/>
              </w:object>
            </w:r>
          </w:p>
        </w:tc>
      </w:tr>
      <w:tr w:rsidR="00755265" w:rsidRPr="006F50B5" w:rsidTr="007552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7BF18B" wp14:editId="2AEE2ED3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2540</wp:posOffset>
                      </wp:positionV>
                      <wp:extent cx="6153150" cy="752475"/>
                      <wp:effectExtent l="0" t="0" r="19050" b="28575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315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53.8pt;margin-top:.2pt;width:484.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" filled="f" strokecolor="red" strokeweight="2pt"/>
                  </w:pict>
                </mc:Fallback>
              </mc:AlternateContent>
            </w:r>
            <w:r w:rsidRPr="006F50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Overload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50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FT0207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50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50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Temporary 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50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AGA, Gallup Branch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Jun 03,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Jul 31,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50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Dec 31,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50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object w:dxaOrig="1440" w:dyaOrig="1440">
                <v:shape id="_x0000_i1065" type="#_x0000_t75" style="width:18pt;height:15.7pt" o:ole="">
                  <v:imagedata r:id="rId18" o:title=""/>
                </v:shape>
                <w:control r:id="rId19" w:name="DefaultOcxName8" w:shapeid="_x0000_i1065"/>
              </w:object>
            </w:r>
          </w:p>
        </w:tc>
      </w:tr>
      <w:tr w:rsidR="00755265" w:rsidRPr="006F50B5" w:rsidTr="007552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50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Overload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50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FT0207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50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50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Temporary 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50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AGA, Gallup Branch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Jul 01,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Jul 31,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Dec 31,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50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object w:dxaOrig="1440" w:dyaOrig="1440">
                <v:shape id="_x0000_i1068" type="#_x0000_t75" style="width:18pt;height:15.7pt" o:ole="">
                  <v:imagedata r:id="rId13" o:title=""/>
                </v:shape>
                <w:control r:id="rId20" w:name="DefaultOcxName9" w:shapeid="_x0000_i1068"/>
              </w:object>
            </w:r>
          </w:p>
        </w:tc>
      </w:tr>
      <w:tr w:rsidR="00755265" w:rsidRPr="006F50B5" w:rsidTr="007552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50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Overload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50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FTSG</w:t>
            </w:r>
            <w:bookmarkStart w:id="0" w:name="_GoBack"/>
            <w:bookmarkEnd w:id="0"/>
            <w:r w:rsidRPr="006F50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50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50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Summer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50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AGA, Gallup Branch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50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Jun 01, 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50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Jul 31,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50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Jul 31,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50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Terminated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50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object w:dxaOrig="1440" w:dyaOrig="1440">
                <v:shape id="_x0000_i1071" type="#_x0000_t75" style="width:18pt;height:15.7pt" o:ole="">
                  <v:imagedata r:id="rId13" o:title=""/>
                </v:shape>
                <w:control r:id="rId21" w:name="DefaultOcxName10" w:shapeid="_x0000_i1071"/>
              </w:object>
            </w:r>
          </w:p>
        </w:tc>
      </w:tr>
      <w:tr w:rsidR="00755265" w:rsidRPr="006F50B5" w:rsidTr="007552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50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Secondary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50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NXTITL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50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50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Professor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50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AGA, Gallup Branch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50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Aug 01, 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50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Active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265" w:rsidRPr="006F50B5" w:rsidRDefault="00755265" w:rsidP="0075526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F50B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object w:dxaOrig="1440" w:dyaOrig="1440">
                <v:shape id="_x0000_i1074" type="#_x0000_t75" style="width:18pt;height:15.7pt" o:ole="">
                  <v:imagedata r:id="rId13" o:title=""/>
                </v:shape>
                <w:control r:id="rId22" w:name="DefaultOcxName11" w:shapeid="_x0000_i1074"/>
              </w:object>
            </w:r>
          </w:p>
        </w:tc>
      </w:tr>
    </w:tbl>
    <w:p w:rsidR="00755265" w:rsidRDefault="0075526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AF73AD" wp14:editId="77F590AE">
                <wp:simplePos x="0" y="0"/>
                <wp:positionH relativeFrom="column">
                  <wp:posOffset>164123</wp:posOffset>
                </wp:positionH>
                <wp:positionV relativeFrom="paragraph">
                  <wp:posOffset>151081</wp:posOffset>
                </wp:positionV>
                <wp:extent cx="7181850" cy="1992923"/>
                <wp:effectExtent l="57150" t="38100" r="76200" b="10287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199292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364" w:rsidRDefault="00BD3D31" w:rsidP="00FB67B2">
                            <w:r>
                              <w:t>If</w:t>
                            </w:r>
                            <w:r>
                              <w:t xml:space="preserve"> the LOU contains overlapping courses</w:t>
                            </w:r>
                            <w:r w:rsidR="00DC4364">
                              <w:t xml:space="preserve"> for your TPT instructor</w:t>
                            </w:r>
                            <w:r>
                              <w:t>,</w:t>
                            </w:r>
                            <w:r w:rsidR="00DC4364">
                              <w:t xml:space="preserve"> as described below:</w:t>
                            </w:r>
                          </w:p>
                          <w:p w:rsidR="00DC4364" w:rsidRPr="00FB67B2" w:rsidRDefault="00DC4364" w:rsidP="00DC436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6"/>
                              </w:rPr>
                              <w:t>A r</w:t>
                            </w:r>
                            <w:r w:rsidRPr="00FB67B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egular faculty member teaching two TPT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6"/>
                              </w:rPr>
                              <w:t>summer courses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and t</w:t>
                            </w:r>
                            <w:r w:rsidRPr="00FB67B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he first course begins 06/03/2013 and ends on 07/31/2013.  This course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6"/>
                              </w:rPr>
                              <w:t>should be</w:t>
                            </w:r>
                            <w:r w:rsidRPr="00FB67B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6"/>
                              </w:rPr>
                              <w:t>assigned</w:t>
                            </w:r>
                            <w:r w:rsidRPr="00FB67B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to suffix 00.   The second course begins on 07/01/2013 and ends on 07/31/2013.  This course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6"/>
                              </w:rPr>
                              <w:t>should be</w:t>
                            </w:r>
                            <w:r w:rsidRPr="00FB67B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assigned to suffix 01.  </w:t>
                            </w:r>
                          </w:p>
                          <w:p w:rsidR="00FB67B2" w:rsidRPr="00BD3D31" w:rsidRDefault="00DC4364" w:rsidP="00FB67B2">
                            <w:r>
                              <w:t>Then y</w:t>
                            </w:r>
                            <w:r w:rsidR="00BD3D31">
                              <w:t xml:space="preserve">ou must </w:t>
                            </w:r>
                            <w:r w:rsidR="00FB67B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first determine if </w:t>
                            </w:r>
                            <w:r w:rsidR="00FB67B2" w:rsidRPr="00FB67B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the appropriate </w:t>
                            </w:r>
                            <w:r w:rsidR="00C544EF" w:rsidRPr="00FB67B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6"/>
                              </w:rPr>
                              <w:t>suffixes</w:t>
                            </w:r>
                            <w:r w:rsidR="00BD3D3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6"/>
                              </w:rPr>
                              <w:t>/jobs</w:t>
                            </w:r>
                            <w:r w:rsidR="00C544EF" w:rsidRPr="00FB67B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BD3D3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6"/>
                              </w:rPr>
                              <w:t>are</w:t>
                            </w:r>
                            <w:r w:rsidR="00FB67B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C544E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available for each </w:t>
                            </w:r>
                            <w:r w:rsidR="00BD3D3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overlapping </w:t>
                            </w:r>
                            <w:r w:rsidR="00C544E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6"/>
                              </w:rPr>
                              <w:t>course.  (S</w:t>
                            </w:r>
                            <w:r w:rsidR="00FB67B2" w:rsidRPr="00FB67B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ee the Suffix Quick Guide for more information on how to choose the correct suffixes.)  </w:t>
                            </w:r>
                            <w:r w:rsidR="00FB67B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For example, the highlighted jobs above </w:t>
                            </w:r>
                            <w:r w:rsidR="00B17E4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6"/>
                              </w:rPr>
                              <w:t>represent the two correct EPAFs used in this scenario.  Note that the LOU should be attached to both EPAFs.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12.9pt;margin-top:11.9pt;width:565.5pt;height:15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C4364" w:rsidRDefault="00BD3D31" w:rsidP="00FB67B2">
                      <w:r>
                        <w:t>If</w:t>
                      </w:r>
                      <w:r>
                        <w:t xml:space="preserve"> the LOU contains overlapping courses</w:t>
                      </w:r>
                      <w:r w:rsidR="00DC4364">
                        <w:t xml:space="preserve"> for your TPT instructor</w:t>
                      </w:r>
                      <w:r>
                        <w:t>,</w:t>
                      </w:r>
                      <w:r w:rsidR="00DC4364">
                        <w:t xml:space="preserve"> as described below:</w:t>
                      </w:r>
                    </w:p>
                    <w:p w:rsidR="00DC4364" w:rsidRPr="00FB67B2" w:rsidRDefault="00DC4364" w:rsidP="00DC4364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16"/>
                        </w:rPr>
                        <w:t>A r</w:t>
                      </w:r>
                      <w:r w:rsidRPr="00FB67B2">
                        <w:rPr>
                          <w:rFonts w:ascii="Arial" w:hAnsi="Arial" w:cs="Arial"/>
                          <w:color w:val="000000" w:themeColor="text1"/>
                          <w:sz w:val="20"/>
                          <w:szCs w:val="16"/>
                        </w:rPr>
                        <w:t xml:space="preserve">egular faculty member teaching two TPT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16"/>
                        </w:rPr>
                        <w:t>summer courses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16"/>
                        </w:rPr>
                        <w:t xml:space="preserve"> and t</w:t>
                      </w:r>
                      <w:r w:rsidRPr="00FB67B2">
                        <w:rPr>
                          <w:rFonts w:ascii="Arial" w:hAnsi="Arial" w:cs="Arial"/>
                          <w:color w:val="000000" w:themeColor="text1"/>
                          <w:sz w:val="20"/>
                          <w:szCs w:val="16"/>
                        </w:rPr>
                        <w:t xml:space="preserve">he first course begins 06/03/2013 and ends on 07/31/2013.  This course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16"/>
                        </w:rPr>
                        <w:t>should be</w:t>
                      </w:r>
                      <w:r w:rsidRPr="00FB67B2">
                        <w:rPr>
                          <w:rFonts w:ascii="Arial" w:hAnsi="Arial" w:cs="Arial"/>
                          <w:color w:val="000000" w:themeColor="text1"/>
                          <w:sz w:val="20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16"/>
                        </w:rPr>
                        <w:t>assigned</w:t>
                      </w:r>
                      <w:r w:rsidRPr="00FB67B2">
                        <w:rPr>
                          <w:rFonts w:ascii="Arial" w:hAnsi="Arial" w:cs="Arial"/>
                          <w:color w:val="000000" w:themeColor="text1"/>
                          <w:sz w:val="20"/>
                          <w:szCs w:val="16"/>
                        </w:rPr>
                        <w:t xml:space="preserve"> to suffix 00.   The second course begins on 07/01/2013 and ends on 07/31/2013.  This course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16"/>
                        </w:rPr>
                        <w:t>should be</w:t>
                      </w:r>
                      <w:r w:rsidRPr="00FB67B2">
                        <w:rPr>
                          <w:rFonts w:ascii="Arial" w:hAnsi="Arial" w:cs="Arial"/>
                          <w:color w:val="000000" w:themeColor="text1"/>
                          <w:sz w:val="20"/>
                          <w:szCs w:val="16"/>
                        </w:rPr>
                        <w:t xml:space="preserve"> assigned to suffix 01.  </w:t>
                      </w:r>
                    </w:p>
                    <w:p w:rsidR="00FB67B2" w:rsidRPr="00BD3D31" w:rsidRDefault="00DC4364" w:rsidP="00FB67B2">
                      <w:r>
                        <w:t>Then y</w:t>
                      </w:r>
                      <w:r w:rsidR="00BD3D31">
                        <w:t xml:space="preserve">ou must </w:t>
                      </w:r>
                      <w:r w:rsidR="00FB67B2">
                        <w:rPr>
                          <w:rFonts w:ascii="Arial" w:hAnsi="Arial" w:cs="Arial"/>
                          <w:color w:val="000000" w:themeColor="text1"/>
                          <w:sz w:val="20"/>
                          <w:szCs w:val="16"/>
                        </w:rPr>
                        <w:t xml:space="preserve">first determine if </w:t>
                      </w:r>
                      <w:r w:rsidR="00FB67B2" w:rsidRPr="00FB67B2">
                        <w:rPr>
                          <w:rFonts w:ascii="Arial" w:hAnsi="Arial" w:cs="Arial"/>
                          <w:color w:val="000000" w:themeColor="text1"/>
                          <w:sz w:val="20"/>
                          <w:szCs w:val="16"/>
                        </w:rPr>
                        <w:t xml:space="preserve">the appropriate </w:t>
                      </w:r>
                      <w:r w:rsidR="00C544EF" w:rsidRPr="00FB67B2">
                        <w:rPr>
                          <w:rFonts w:ascii="Arial" w:hAnsi="Arial" w:cs="Arial"/>
                          <w:color w:val="000000" w:themeColor="text1"/>
                          <w:sz w:val="20"/>
                          <w:szCs w:val="16"/>
                        </w:rPr>
                        <w:t>suffixes</w:t>
                      </w:r>
                      <w:r w:rsidR="00BD3D31">
                        <w:rPr>
                          <w:rFonts w:ascii="Arial" w:hAnsi="Arial" w:cs="Arial"/>
                          <w:color w:val="000000" w:themeColor="text1"/>
                          <w:sz w:val="20"/>
                          <w:szCs w:val="16"/>
                        </w:rPr>
                        <w:t>/jobs</w:t>
                      </w:r>
                      <w:r w:rsidR="00C544EF" w:rsidRPr="00FB67B2">
                        <w:rPr>
                          <w:rFonts w:ascii="Arial" w:hAnsi="Arial" w:cs="Arial"/>
                          <w:color w:val="000000" w:themeColor="text1"/>
                          <w:sz w:val="20"/>
                          <w:szCs w:val="16"/>
                        </w:rPr>
                        <w:t xml:space="preserve"> </w:t>
                      </w:r>
                      <w:r w:rsidR="00BD3D31">
                        <w:rPr>
                          <w:rFonts w:ascii="Arial" w:hAnsi="Arial" w:cs="Arial"/>
                          <w:color w:val="000000" w:themeColor="text1"/>
                          <w:sz w:val="20"/>
                          <w:szCs w:val="16"/>
                        </w:rPr>
                        <w:t>are</w:t>
                      </w:r>
                      <w:r w:rsidR="00FB67B2">
                        <w:rPr>
                          <w:rFonts w:ascii="Arial" w:hAnsi="Arial" w:cs="Arial"/>
                          <w:color w:val="000000" w:themeColor="text1"/>
                          <w:sz w:val="20"/>
                          <w:szCs w:val="16"/>
                        </w:rPr>
                        <w:t xml:space="preserve"> </w:t>
                      </w:r>
                      <w:r w:rsidR="00C544EF">
                        <w:rPr>
                          <w:rFonts w:ascii="Arial" w:hAnsi="Arial" w:cs="Arial"/>
                          <w:color w:val="000000" w:themeColor="text1"/>
                          <w:sz w:val="20"/>
                          <w:szCs w:val="16"/>
                        </w:rPr>
                        <w:t xml:space="preserve">available for each </w:t>
                      </w:r>
                      <w:r w:rsidR="00BD3D31">
                        <w:rPr>
                          <w:rFonts w:ascii="Arial" w:hAnsi="Arial" w:cs="Arial"/>
                          <w:color w:val="000000" w:themeColor="text1"/>
                          <w:sz w:val="20"/>
                          <w:szCs w:val="16"/>
                        </w:rPr>
                        <w:t xml:space="preserve">overlapping </w:t>
                      </w:r>
                      <w:r w:rsidR="00C544EF">
                        <w:rPr>
                          <w:rFonts w:ascii="Arial" w:hAnsi="Arial" w:cs="Arial"/>
                          <w:color w:val="000000" w:themeColor="text1"/>
                          <w:sz w:val="20"/>
                          <w:szCs w:val="16"/>
                        </w:rPr>
                        <w:t>course.  (S</w:t>
                      </w:r>
                      <w:r w:rsidR="00FB67B2" w:rsidRPr="00FB67B2">
                        <w:rPr>
                          <w:rFonts w:ascii="Arial" w:hAnsi="Arial" w:cs="Arial"/>
                          <w:color w:val="000000" w:themeColor="text1"/>
                          <w:sz w:val="20"/>
                          <w:szCs w:val="16"/>
                        </w:rPr>
                        <w:t xml:space="preserve">ee the Suffix Quick Guide for more information on how to choose the correct suffixes.)  </w:t>
                      </w:r>
                      <w:r w:rsidR="00FB67B2">
                        <w:rPr>
                          <w:rFonts w:ascii="Arial" w:hAnsi="Arial" w:cs="Arial"/>
                          <w:color w:val="000000" w:themeColor="text1"/>
                          <w:sz w:val="20"/>
                          <w:szCs w:val="16"/>
                        </w:rPr>
                        <w:t xml:space="preserve">For example, the highlighted jobs above </w:t>
                      </w:r>
                      <w:r w:rsidR="00B17E48">
                        <w:rPr>
                          <w:rFonts w:ascii="Arial" w:hAnsi="Arial" w:cs="Arial"/>
                          <w:color w:val="000000" w:themeColor="text1"/>
                          <w:sz w:val="20"/>
                          <w:szCs w:val="16"/>
                        </w:rPr>
                        <w:t>represent the two correct EPAFs used in this scenario.  Note that the LOU should be attached to both EPAFs.</w:t>
                      </w:r>
                    </w:p>
                  </w:txbxContent>
                </v:textbox>
              </v:rect>
            </w:pict>
          </mc:Fallback>
        </mc:AlternateContent>
      </w:r>
    </w:p>
    <w:sectPr w:rsidR="00755265" w:rsidSect="00755265">
      <w:footerReference w:type="default" r:id="rId23"/>
      <w:pgSz w:w="12240" w:h="15840"/>
      <w:pgMar w:top="1440" w:right="360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A27" w:rsidRDefault="00BC2A27" w:rsidP="00BC2A27">
      <w:pPr>
        <w:spacing w:after="0" w:line="240" w:lineRule="auto"/>
      </w:pPr>
      <w:r>
        <w:separator/>
      </w:r>
    </w:p>
  </w:endnote>
  <w:endnote w:type="continuationSeparator" w:id="0">
    <w:p w:rsidR="00BC2A27" w:rsidRDefault="00BC2A27" w:rsidP="00BC2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A27" w:rsidRDefault="00BC2A27">
    <w:pPr>
      <w:pStyle w:val="Footer"/>
    </w:pPr>
    <w:r>
      <w:t>04/03/2013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A27" w:rsidRDefault="00BC2A27" w:rsidP="00BC2A27">
      <w:pPr>
        <w:spacing w:after="0" w:line="240" w:lineRule="auto"/>
      </w:pPr>
      <w:r>
        <w:separator/>
      </w:r>
    </w:p>
  </w:footnote>
  <w:footnote w:type="continuationSeparator" w:id="0">
    <w:p w:rsidR="00BC2A27" w:rsidRDefault="00BC2A27" w:rsidP="00BC2A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65"/>
    <w:rsid w:val="00577348"/>
    <w:rsid w:val="00755265"/>
    <w:rsid w:val="008B75B0"/>
    <w:rsid w:val="00A277A3"/>
    <w:rsid w:val="00B17E48"/>
    <w:rsid w:val="00BC2A27"/>
    <w:rsid w:val="00BD3D31"/>
    <w:rsid w:val="00C544EF"/>
    <w:rsid w:val="00DC4364"/>
    <w:rsid w:val="00E836AD"/>
    <w:rsid w:val="00FB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2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A27"/>
  </w:style>
  <w:style w:type="paragraph" w:styleId="Footer">
    <w:name w:val="footer"/>
    <w:basedOn w:val="Normal"/>
    <w:link w:val="FooterChar"/>
    <w:uiPriority w:val="99"/>
    <w:unhideWhenUsed/>
    <w:rsid w:val="00BC2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2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A27"/>
  </w:style>
  <w:style w:type="paragraph" w:styleId="Footer">
    <w:name w:val="footer"/>
    <w:basedOn w:val="Normal"/>
    <w:link w:val="FooterChar"/>
    <w:uiPriority w:val="99"/>
    <w:unhideWhenUsed/>
    <w:rsid w:val="00BC2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wmf"/><Relationship Id="rId18" Type="http://schemas.openxmlformats.org/officeDocument/2006/relationships/image" Target="media/image5.wmf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hyperlink" Target="https://appintg.unm.edu/pls/intg/bwpkepaf.P_ChoosePosition" TargetMode="Externa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</dc:creator>
  <cp:lastModifiedBy>Nilda Barela</cp:lastModifiedBy>
  <cp:revision>4</cp:revision>
  <cp:lastPrinted>2013-04-03T02:45:00Z</cp:lastPrinted>
  <dcterms:created xsi:type="dcterms:W3CDTF">2013-04-03T00:13:00Z</dcterms:created>
  <dcterms:modified xsi:type="dcterms:W3CDTF">2013-04-03T03:02:00Z</dcterms:modified>
</cp:coreProperties>
</file>